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E5635">
      <w:pPr>
        <w:jc w:val="center"/>
        <w:rPr>
          <w:rFonts w:ascii="仿宋" w:hAnsi="仿宋" w:eastAsia="仿宋"/>
          <w:b/>
          <w:bCs/>
          <w:sz w:val="36"/>
          <w:szCs w:val="36"/>
        </w:rPr>
      </w:pPr>
      <w:r>
        <w:rPr>
          <w:rFonts w:ascii="仿宋" w:hAnsi="仿宋" w:eastAsia="仿宋"/>
          <w:b/>
          <w:bCs/>
          <w:sz w:val="36"/>
          <w:szCs w:val="36"/>
        </w:rPr>
        <w:t>七台河新建煤矿矿用隔爆型提升机电控系统大修及升级改造技术方案</w:t>
      </w:r>
    </w:p>
    <w:p w14:paraId="13A704C8">
      <w:pPr>
        <w:jc w:val="center"/>
        <w:rPr>
          <w:rFonts w:ascii="仿宋" w:hAnsi="仿宋" w:eastAsia="仿宋"/>
          <w:kern w:val="0"/>
          <w:sz w:val="24"/>
          <w:szCs w:val="24"/>
        </w:rPr>
      </w:pPr>
    </w:p>
    <w:p w14:paraId="2CF9661C">
      <w:pPr>
        <w:jc w:val="center"/>
        <w:rPr>
          <w:rFonts w:ascii="仿宋" w:hAnsi="仿宋" w:eastAsia="仿宋"/>
          <w:kern w:val="0"/>
          <w:sz w:val="24"/>
          <w:szCs w:val="24"/>
        </w:rPr>
      </w:pPr>
    </w:p>
    <w:p w14:paraId="014580DA">
      <w:pPr>
        <w:jc w:val="center"/>
        <w:rPr>
          <w:rFonts w:ascii="仿宋" w:hAnsi="仿宋" w:eastAsia="仿宋"/>
          <w:kern w:val="0"/>
          <w:sz w:val="24"/>
          <w:szCs w:val="24"/>
        </w:rPr>
      </w:pPr>
    </w:p>
    <w:p w14:paraId="07C3A5D9">
      <w:pPr>
        <w:jc w:val="center"/>
        <w:rPr>
          <w:rFonts w:ascii="仿宋" w:hAnsi="仿宋" w:eastAsia="仿宋"/>
          <w:kern w:val="0"/>
          <w:sz w:val="24"/>
          <w:szCs w:val="24"/>
        </w:rPr>
      </w:pPr>
    </w:p>
    <w:p w14:paraId="55CAA74B">
      <w:pPr>
        <w:jc w:val="center"/>
        <w:rPr>
          <w:rFonts w:ascii="仿宋" w:hAnsi="仿宋" w:eastAsia="仿宋"/>
          <w:kern w:val="0"/>
          <w:sz w:val="24"/>
          <w:szCs w:val="24"/>
        </w:rPr>
      </w:pPr>
    </w:p>
    <w:p w14:paraId="184C5B8C">
      <w:pPr>
        <w:jc w:val="center"/>
        <w:rPr>
          <w:rFonts w:ascii="仿宋" w:hAnsi="仿宋" w:eastAsia="仿宋"/>
          <w:kern w:val="0"/>
          <w:sz w:val="24"/>
          <w:szCs w:val="24"/>
        </w:rPr>
      </w:pPr>
    </w:p>
    <w:p w14:paraId="4F82CFF2">
      <w:pPr>
        <w:jc w:val="center"/>
        <w:rPr>
          <w:rFonts w:ascii="仿宋" w:hAnsi="仿宋" w:eastAsia="仿宋"/>
          <w:kern w:val="0"/>
          <w:sz w:val="24"/>
          <w:szCs w:val="24"/>
        </w:rPr>
      </w:pPr>
    </w:p>
    <w:p w14:paraId="3A0FF42E">
      <w:pPr>
        <w:jc w:val="center"/>
        <w:rPr>
          <w:rFonts w:ascii="仿宋" w:hAnsi="仿宋" w:eastAsia="仿宋"/>
          <w:kern w:val="0"/>
          <w:sz w:val="24"/>
          <w:szCs w:val="24"/>
        </w:rPr>
      </w:pPr>
    </w:p>
    <w:p w14:paraId="478E9F84">
      <w:pPr>
        <w:jc w:val="center"/>
        <w:rPr>
          <w:rFonts w:ascii="仿宋" w:hAnsi="仿宋" w:eastAsia="仿宋"/>
          <w:kern w:val="0"/>
          <w:sz w:val="24"/>
          <w:szCs w:val="24"/>
        </w:rPr>
      </w:pPr>
    </w:p>
    <w:p w14:paraId="6BEA3327">
      <w:pPr>
        <w:jc w:val="center"/>
        <w:rPr>
          <w:rFonts w:ascii="仿宋" w:hAnsi="仿宋" w:eastAsia="仿宋"/>
          <w:kern w:val="0"/>
          <w:sz w:val="24"/>
          <w:szCs w:val="24"/>
        </w:rPr>
      </w:pPr>
    </w:p>
    <w:p w14:paraId="6BB21B16">
      <w:pPr>
        <w:jc w:val="center"/>
        <w:rPr>
          <w:rFonts w:hint="eastAsia" w:ascii="仿宋" w:hAnsi="仿宋" w:eastAsia="仿宋"/>
          <w:kern w:val="0"/>
          <w:sz w:val="24"/>
          <w:szCs w:val="24"/>
        </w:rPr>
      </w:pPr>
    </w:p>
    <w:p w14:paraId="067E520C">
      <w:pPr>
        <w:rPr>
          <w:rFonts w:ascii="仿宋" w:hAnsi="仿宋" w:eastAsia="仿宋"/>
          <w:kern w:val="0"/>
          <w:sz w:val="24"/>
          <w:szCs w:val="24"/>
        </w:rPr>
      </w:pPr>
      <w:r>
        <w:rPr>
          <w:rFonts w:hint="eastAsia" w:ascii="仿宋" w:hAnsi="仿宋" w:eastAsia="仿宋"/>
          <w:kern w:val="0"/>
          <w:sz w:val="24"/>
          <w:szCs w:val="24"/>
        </w:rPr>
        <w:t>原</w:t>
      </w:r>
      <w:r>
        <w:rPr>
          <w:rFonts w:ascii="仿宋" w:hAnsi="仿宋" w:eastAsia="仿宋"/>
          <w:kern w:val="0"/>
          <w:sz w:val="24"/>
          <w:szCs w:val="24"/>
        </w:rPr>
        <w:t>防爆变频器合同编号： KT18130-1</w:t>
      </w:r>
    </w:p>
    <w:p w14:paraId="62DE15D4">
      <w:pPr>
        <w:rPr>
          <w:rFonts w:ascii="仿宋" w:hAnsi="仿宋" w:eastAsia="仿宋"/>
          <w:kern w:val="0"/>
          <w:sz w:val="24"/>
          <w:szCs w:val="24"/>
        </w:rPr>
      </w:pPr>
      <w:r>
        <w:rPr>
          <w:rFonts w:hint="eastAsia" w:ascii="仿宋" w:hAnsi="仿宋" w:eastAsia="仿宋"/>
          <w:kern w:val="0"/>
          <w:sz w:val="24"/>
          <w:szCs w:val="24"/>
        </w:rPr>
        <w:t>原</w:t>
      </w:r>
      <w:r>
        <w:rPr>
          <w:rFonts w:ascii="仿宋" w:hAnsi="仿宋" w:eastAsia="仿宋"/>
          <w:kern w:val="0"/>
          <w:sz w:val="24"/>
          <w:szCs w:val="24"/>
        </w:rPr>
        <w:t>绞车电控合同编号： KT11263-1</w:t>
      </w:r>
    </w:p>
    <w:p w14:paraId="7CF8597A">
      <w:pPr>
        <w:jc w:val="center"/>
        <w:rPr>
          <w:rFonts w:ascii="仿宋" w:hAnsi="仿宋" w:eastAsia="仿宋"/>
          <w:kern w:val="0"/>
          <w:sz w:val="24"/>
          <w:szCs w:val="24"/>
        </w:rPr>
      </w:pPr>
      <w:r>
        <w:rPr>
          <w:rFonts w:ascii="仿宋" w:hAnsi="仿宋" w:eastAsia="仿宋"/>
          <w:kern w:val="0"/>
          <w:sz w:val="24"/>
          <w:szCs w:val="24"/>
        </w:rPr>
        <w:t>编制日期： 2026年3月</w:t>
      </w:r>
    </w:p>
    <w:p w14:paraId="5B4B47B6">
      <w:pPr>
        <w:pStyle w:val="11"/>
        <w:tabs>
          <w:tab w:val="right" w:leader="dot" w:pos="8296"/>
        </w:tabs>
        <w:rPr>
          <w:rFonts w:hint="eastAsia"/>
          <w:szCs w:val="24"/>
        </w:rPr>
      </w:pPr>
      <w:r>
        <w:rPr>
          <w:rFonts w:hint="eastAsia" w:ascii="仿宋" w:hAnsi="仿宋" w:eastAsia="仿宋"/>
          <w:kern w:val="0"/>
          <w:sz w:val="24"/>
          <w:szCs w:val="24"/>
        </w:rPr>
        <w:fldChar w:fldCharType="begin"/>
      </w:r>
      <w:r>
        <w:rPr>
          <w:rFonts w:hint="eastAsia" w:ascii="仿宋" w:hAnsi="仿宋" w:eastAsia="仿宋"/>
          <w:kern w:val="0"/>
          <w:sz w:val="24"/>
          <w:szCs w:val="24"/>
        </w:rPr>
        <w:instrText xml:space="preserve"> </w:instrText>
      </w:r>
      <w:r>
        <w:rPr>
          <w:rFonts w:ascii="仿宋" w:hAnsi="仿宋" w:eastAsia="仿宋"/>
          <w:kern w:val="0"/>
          <w:sz w:val="24"/>
          <w:szCs w:val="24"/>
        </w:rPr>
        <w:instrText xml:space="preserve">TOC \o "1-3" \h \z \u</w:instrText>
      </w:r>
      <w:r>
        <w:rPr>
          <w:rFonts w:hint="eastAsia" w:ascii="仿宋" w:hAnsi="仿宋" w:eastAsia="仿宋"/>
          <w:kern w:val="0"/>
          <w:sz w:val="24"/>
          <w:szCs w:val="24"/>
        </w:rPr>
        <w:instrText xml:space="preserve"> </w:instrText>
      </w:r>
      <w:r>
        <w:rPr>
          <w:rFonts w:hint="eastAsia" w:ascii="仿宋" w:hAnsi="仿宋" w:eastAsia="仿宋"/>
          <w:kern w:val="0"/>
          <w:sz w:val="24"/>
          <w:szCs w:val="24"/>
        </w:rPr>
        <w:fldChar w:fldCharType="separate"/>
      </w:r>
      <w:r>
        <w:fldChar w:fldCharType="begin"/>
      </w:r>
      <w:r>
        <w:instrText xml:space="preserve"> HYPERLINK \l "_Toc225510364" </w:instrText>
      </w:r>
      <w:r>
        <w:fldChar w:fldCharType="separate"/>
      </w:r>
      <w:r>
        <w:rPr>
          <w:rStyle w:val="17"/>
          <w:rFonts w:hint="eastAsia" w:ascii="仿宋" w:hAnsi="仿宋" w:eastAsia="仿宋"/>
          <w:b/>
          <w:bCs/>
        </w:rPr>
        <w:t>一、项目概述</w:t>
      </w:r>
      <w:r>
        <w:rPr>
          <w:rFonts w:hint="eastAsia"/>
        </w:rPr>
        <w:tab/>
      </w:r>
      <w:r>
        <w:rPr>
          <w:rFonts w:hint="eastAsia"/>
        </w:rPr>
        <w:fldChar w:fldCharType="begin"/>
      </w:r>
      <w:r>
        <w:rPr>
          <w:rFonts w:hint="eastAsia"/>
        </w:rPr>
        <w:instrText xml:space="preserve"> </w:instrText>
      </w:r>
      <w:r>
        <w:instrText xml:space="preserve">PAGEREF _Toc225510364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720AF9DD">
      <w:pPr>
        <w:pStyle w:val="13"/>
        <w:tabs>
          <w:tab w:val="right" w:leader="dot" w:pos="8296"/>
        </w:tabs>
        <w:ind w:left="440"/>
        <w:rPr>
          <w:rFonts w:hint="eastAsia"/>
        </w:rPr>
      </w:pPr>
      <w:r>
        <w:fldChar w:fldCharType="begin"/>
      </w:r>
      <w:r>
        <w:instrText xml:space="preserve"> HYPERLINK \l "_Toc225510365" </w:instrText>
      </w:r>
      <w:r>
        <w:fldChar w:fldCharType="separate"/>
      </w:r>
      <w:r>
        <w:rPr>
          <w:rStyle w:val="17"/>
          <w:rFonts w:hint="eastAsia" w:ascii="仿宋" w:hAnsi="仿宋" w:eastAsia="仿宋"/>
          <w:b/>
          <w:bCs/>
        </w:rPr>
        <w:t>1.1 项目名称</w:t>
      </w:r>
      <w:r>
        <w:rPr>
          <w:rFonts w:hint="eastAsia"/>
        </w:rPr>
        <w:tab/>
      </w:r>
      <w:r>
        <w:rPr>
          <w:rFonts w:hint="eastAsia"/>
        </w:rPr>
        <w:fldChar w:fldCharType="begin"/>
      </w:r>
      <w:r>
        <w:rPr>
          <w:rFonts w:hint="eastAsia"/>
        </w:rPr>
        <w:instrText xml:space="preserve"> </w:instrText>
      </w:r>
      <w:r>
        <w:instrText xml:space="preserve">PAGEREF _Toc225510365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2A2090F1">
      <w:pPr>
        <w:pStyle w:val="13"/>
        <w:tabs>
          <w:tab w:val="right" w:leader="dot" w:pos="8296"/>
        </w:tabs>
        <w:ind w:left="440"/>
        <w:rPr>
          <w:rFonts w:hint="eastAsia"/>
        </w:rPr>
      </w:pPr>
      <w:r>
        <w:fldChar w:fldCharType="begin"/>
      </w:r>
      <w:r>
        <w:instrText xml:space="preserve"> HYPERLINK \l "_Toc225510366" </w:instrText>
      </w:r>
      <w:r>
        <w:fldChar w:fldCharType="separate"/>
      </w:r>
      <w:r>
        <w:rPr>
          <w:rStyle w:val="17"/>
          <w:rFonts w:hint="eastAsia" w:ascii="仿宋" w:hAnsi="仿宋" w:eastAsia="仿宋"/>
          <w:b/>
          <w:bCs/>
        </w:rPr>
        <w:t>1.2 改造目标</w:t>
      </w:r>
      <w:r>
        <w:rPr>
          <w:rFonts w:hint="eastAsia"/>
        </w:rPr>
        <w:tab/>
      </w:r>
      <w:r>
        <w:rPr>
          <w:rFonts w:hint="eastAsia"/>
        </w:rPr>
        <w:fldChar w:fldCharType="begin"/>
      </w:r>
      <w:r>
        <w:rPr>
          <w:rFonts w:hint="eastAsia"/>
        </w:rPr>
        <w:instrText xml:space="preserve"> </w:instrText>
      </w:r>
      <w:r>
        <w:instrText xml:space="preserve">PAGEREF _Toc225510366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3E65388E">
      <w:pPr>
        <w:pStyle w:val="11"/>
        <w:tabs>
          <w:tab w:val="right" w:leader="dot" w:pos="8296"/>
        </w:tabs>
        <w:rPr>
          <w:rFonts w:hint="eastAsia"/>
          <w:szCs w:val="24"/>
        </w:rPr>
      </w:pPr>
      <w:r>
        <w:fldChar w:fldCharType="begin"/>
      </w:r>
      <w:r>
        <w:instrText xml:space="preserve"> HYPERLINK \l "_Toc225510367" </w:instrText>
      </w:r>
      <w:r>
        <w:fldChar w:fldCharType="separate"/>
      </w:r>
      <w:r>
        <w:rPr>
          <w:rStyle w:val="17"/>
          <w:rFonts w:hint="eastAsia" w:ascii="仿宋" w:hAnsi="仿宋" w:eastAsia="仿宋"/>
          <w:b/>
          <w:bCs/>
        </w:rPr>
        <w:t>二、原设备情况</w:t>
      </w:r>
      <w:r>
        <w:rPr>
          <w:rFonts w:hint="eastAsia"/>
        </w:rPr>
        <w:tab/>
      </w:r>
      <w:r>
        <w:rPr>
          <w:rFonts w:hint="eastAsia"/>
        </w:rPr>
        <w:fldChar w:fldCharType="begin"/>
      </w:r>
      <w:r>
        <w:rPr>
          <w:rFonts w:hint="eastAsia"/>
        </w:rPr>
        <w:instrText xml:space="preserve"> </w:instrText>
      </w:r>
      <w:r>
        <w:instrText xml:space="preserve">PAGEREF _Toc225510367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4C37729B">
      <w:pPr>
        <w:pStyle w:val="11"/>
        <w:tabs>
          <w:tab w:val="right" w:leader="dot" w:pos="8296"/>
        </w:tabs>
        <w:rPr>
          <w:rFonts w:hint="eastAsia"/>
          <w:szCs w:val="24"/>
        </w:rPr>
      </w:pPr>
      <w:r>
        <w:fldChar w:fldCharType="begin"/>
      </w:r>
      <w:r>
        <w:instrText xml:space="preserve"> HYPERLINK \l "_Toc225510368" </w:instrText>
      </w:r>
      <w:r>
        <w:fldChar w:fldCharType="separate"/>
      </w:r>
      <w:r>
        <w:rPr>
          <w:rStyle w:val="17"/>
          <w:rFonts w:hint="eastAsia" w:ascii="仿宋" w:hAnsi="仿宋" w:eastAsia="仿宋"/>
          <w:b/>
          <w:bCs/>
        </w:rPr>
        <w:t>三、大修及升级改造内容</w:t>
      </w:r>
      <w:r>
        <w:rPr>
          <w:rFonts w:hint="eastAsia"/>
        </w:rPr>
        <w:tab/>
      </w:r>
      <w:r>
        <w:rPr>
          <w:rFonts w:hint="eastAsia"/>
        </w:rPr>
        <w:fldChar w:fldCharType="begin"/>
      </w:r>
      <w:r>
        <w:rPr>
          <w:rFonts w:hint="eastAsia"/>
        </w:rPr>
        <w:instrText xml:space="preserve"> </w:instrText>
      </w:r>
      <w:r>
        <w:instrText xml:space="preserve">PAGEREF _Toc225510368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0634880B">
      <w:pPr>
        <w:pStyle w:val="13"/>
        <w:tabs>
          <w:tab w:val="right" w:leader="dot" w:pos="8296"/>
        </w:tabs>
        <w:ind w:left="440"/>
        <w:rPr>
          <w:rFonts w:hint="eastAsia"/>
        </w:rPr>
      </w:pPr>
      <w:r>
        <w:fldChar w:fldCharType="begin"/>
      </w:r>
      <w:r>
        <w:instrText xml:space="preserve"> HYPERLINK \l "_Toc225510369" </w:instrText>
      </w:r>
      <w:r>
        <w:fldChar w:fldCharType="separate"/>
      </w:r>
      <w:r>
        <w:rPr>
          <w:rStyle w:val="17"/>
          <w:rFonts w:hint="eastAsia" w:ascii="仿宋" w:hAnsi="仿宋" w:eastAsia="仿宋"/>
          <w:b/>
          <w:bCs/>
        </w:rPr>
        <w:t>3.1 防爆变频器返厂大修</w:t>
      </w:r>
      <w:r>
        <w:rPr>
          <w:rFonts w:hint="eastAsia"/>
        </w:rPr>
        <w:tab/>
      </w:r>
      <w:r>
        <w:rPr>
          <w:rFonts w:hint="eastAsia"/>
        </w:rPr>
        <w:fldChar w:fldCharType="begin"/>
      </w:r>
      <w:r>
        <w:rPr>
          <w:rFonts w:hint="eastAsia"/>
        </w:rPr>
        <w:instrText xml:space="preserve"> </w:instrText>
      </w:r>
      <w:r>
        <w:instrText xml:space="preserve">PAGEREF _Toc225510369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2853B868">
      <w:pPr>
        <w:pStyle w:val="13"/>
        <w:tabs>
          <w:tab w:val="right" w:leader="dot" w:pos="8296"/>
        </w:tabs>
        <w:ind w:left="440"/>
        <w:rPr>
          <w:rFonts w:hint="eastAsia"/>
        </w:rPr>
      </w:pPr>
      <w:r>
        <w:fldChar w:fldCharType="begin"/>
      </w:r>
      <w:r>
        <w:instrText xml:space="preserve"> HYPERLINK \l "_Toc225510370" </w:instrText>
      </w:r>
      <w:r>
        <w:fldChar w:fldCharType="separate"/>
      </w:r>
      <w:r>
        <w:rPr>
          <w:rStyle w:val="17"/>
          <w:rFonts w:hint="eastAsia" w:ascii="仿宋" w:hAnsi="仿宋" w:eastAsia="仿宋"/>
          <w:b/>
          <w:bCs/>
        </w:rPr>
        <w:t>3.2 PLC可编程控制箱升级换新</w:t>
      </w:r>
      <w:r>
        <w:rPr>
          <w:rFonts w:hint="eastAsia"/>
        </w:rPr>
        <w:tab/>
      </w:r>
      <w:r>
        <w:rPr>
          <w:rFonts w:hint="eastAsia"/>
        </w:rPr>
        <w:fldChar w:fldCharType="begin"/>
      </w:r>
      <w:r>
        <w:rPr>
          <w:rFonts w:hint="eastAsia"/>
        </w:rPr>
        <w:instrText xml:space="preserve"> </w:instrText>
      </w:r>
      <w:r>
        <w:instrText xml:space="preserve">PAGEREF _Toc225510370 \h</w:instrText>
      </w:r>
      <w:r>
        <w:rPr>
          <w:rFonts w:hint="eastAsia"/>
        </w:rPr>
        <w:instrText xml:space="preserve"> </w:instrText>
      </w:r>
      <w:r>
        <w:rPr>
          <w:rFonts w:hint="eastAsia"/>
        </w:rPr>
        <w:fldChar w:fldCharType="separate"/>
      </w:r>
      <w:r>
        <w:rPr>
          <w:rFonts w:hint="eastAsia"/>
        </w:rPr>
        <w:t>5</w:t>
      </w:r>
      <w:r>
        <w:rPr>
          <w:rFonts w:hint="eastAsia"/>
        </w:rPr>
        <w:fldChar w:fldCharType="end"/>
      </w:r>
      <w:r>
        <w:rPr>
          <w:rFonts w:hint="eastAsia"/>
        </w:rPr>
        <w:fldChar w:fldCharType="end"/>
      </w:r>
    </w:p>
    <w:p w14:paraId="2ED64047">
      <w:pPr>
        <w:pStyle w:val="13"/>
        <w:tabs>
          <w:tab w:val="right" w:leader="dot" w:pos="8296"/>
        </w:tabs>
        <w:ind w:left="440"/>
        <w:rPr>
          <w:rFonts w:hint="eastAsia"/>
        </w:rPr>
      </w:pPr>
      <w:r>
        <w:fldChar w:fldCharType="begin"/>
      </w:r>
      <w:r>
        <w:instrText xml:space="preserve"> HYPERLINK \l "_Toc225510371" </w:instrText>
      </w:r>
      <w:r>
        <w:fldChar w:fldCharType="separate"/>
      </w:r>
      <w:r>
        <w:rPr>
          <w:rStyle w:val="17"/>
          <w:rFonts w:hint="eastAsia" w:ascii="仿宋" w:hAnsi="仿宋" w:eastAsia="仿宋"/>
          <w:b/>
          <w:bCs/>
        </w:rPr>
        <w:t>3.3 操作台升级换新</w:t>
      </w:r>
      <w:r>
        <w:rPr>
          <w:rFonts w:hint="eastAsia"/>
        </w:rPr>
        <w:tab/>
      </w:r>
      <w:r>
        <w:rPr>
          <w:rFonts w:hint="eastAsia"/>
        </w:rPr>
        <w:fldChar w:fldCharType="begin"/>
      </w:r>
      <w:r>
        <w:rPr>
          <w:rFonts w:hint="eastAsia"/>
        </w:rPr>
        <w:instrText xml:space="preserve"> </w:instrText>
      </w:r>
      <w:r>
        <w:instrText xml:space="preserve">PAGEREF _Toc225510371 \h</w:instrText>
      </w:r>
      <w:r>
        <w:rPr>
          <w:rFonts w:hint="eastAsia"/>
        </w:rPr>
        <w:instrText xml:space="preserve"> </w:instrText>
      </w:r>
      <w:r>
        <w:rPr>
          <w:rFonts w:hint="eastAsia"/>
        </w:rPr>
        <w:fldChar w:fldCharType="separate"/>
      </w:r>
      <w:r>
        <w:rPr>
          <w:rFonts w:hint="eastAsia"/>
        </w:rPr>
        <w:t>5</w:t>
      </w:r>
      <w:r>
        <w:rPr>
          <w:rFonts w:hint="eastAsia"/>
        </w:rPr>
        <w:fldChar w:fldCharType="end"/>
      </w:r>
      <w:r>
        <w:rPr>
          <w:rFonts w:hint="eastAsia"/>
        </w:rPr>
        <w:fldChar w:fldCharType="end"/>
      </w:r>
    </w:p>
    <w:p w14:paraId="6C6CBD1B">
      <w:pPr>
        <w:pStyle w:val="13"/>
        <w:tabs>
          <w:tab w:val="right" w:leader="dot" w:pos="8296"/>
        </w:tabs>
        <w:ind w:left="440"/>
        <w:rPr>
          <w:rFonts w:hint="eastAsia"/>
        </w:rPr>
      </w:pPr>
      <w:r>
        <w:fldChar w:fldCharType="begin"/>
      </w:r>
      <w:r>
        <w:instrText xml:space="preserve"> HYPERLINK \l "_Toc225510372" </w:instrText>
      </w:r>
      <w:r>
        <w:fldChar w:fldCharType="separate"/>
      </w:r>
      <w:r>
        <w:rPr>
          <w:rStyle w:val="17"/>
          <w:rFonts w:hint="eastAsia" w:ascii="仿宋" w:hAnsi="仿宋" w:eastAsia="仿宋"/>
          <w:b/>
          <w:bCs/>
        </w:rPr>
        <w:t>3.4 新增编码器</w:t>
      </w:r>
      <w:r>
        <w:rPr>
          <w:rFonts w:hint="eastAsia"/>
        </w:rPr>
        <w:tab/>
      </w:r>
      <w:r>
        <w:rPr>
          <w:rFonts w:hint="eastAsia"/>
        </w:rPr>
        <w:fldChar w:fldCharType="begin"/>
      </w:r>
      <w:r>
        <w:rPr>
          <w:rFonts w:hint="eastAsia"/>
        </w:rPr>
        <w:instrText xml:space="preserve"> </w:instrText>
      </w:r>
      <w:r>
        <w:instrText xml:space="preserve">PAGEREF _Toc225510372 \h</w:instrText>
      </w:r>
      <w:r>
        <w:rPr>
          <w:rFonts w:hint="eastAsia"/>
        </w:rPr>
        <w:instrText xml:space="preserve"> </w:instrText>
      </w:r>
      <w:r>
        <w:rPr>
          <w:rFonts w:hint="eastAsia"/>
        </w:rPr>
        <w:fldChar w:fldCharType="separate"/>
      </w:r>
      <w:r>
        <w:rPr>
          <w:rFonts w:hint="eastAsia"/>
        </w:rPr>
        <w:t>5</w:t>
      </w:r>
      <w:r>
        <w:rPr>
          <w:rFonts w:hint="eastAsia"/>
        </w:rPr>
        <w:fldChar w:fldCharType="end"/>
      </w:r>
      <w:r>
        <w:rPr>
          <w:rFonts w:hint="eastAsia"/>
        </w:rPr>
        <w:fldChar w:fldCharType="end"/>
      </w:r>
    </w:p>
    <w:p w14:paraId="229FA26E">
      <w:pPr>
        <w:pStyle w:val="11"/>
        <w:tabs>
          <w:tab w:val="right" w:leader="dot" w:pos="8296"/>
        </w:tabs>
        <w:rPr>
          <w:rFonts w:hint="eastAsia"/>
          <w:szCs w:val="24"/>
        </w:rPr>
      </w:pPr>
      <w:r>
        <w:fldChar w:fldCharType="begin"/>
      </w:r>
      <w:r>
        <w:instrText xml:space="preserve"> HYPERLINK \l "_Toc225510373" </w:instrText>
      </w:r>
      <w:r>
        <w:fldChar w:fldCharType="separate"/>
      </w:r>
      <w:r>
        <w:rPr>
          <w:rStyle w:val="17"/>
          <w:rFonts w:hint="eastAsia" w:ascii="仿宋" w:hAnsi="仿宋" w:eastAsia="仿宋"/>
          <w:b/>
          <w:bCs/>
        </w:rPr>
        <w:t>四、升级后设备配置</w:t>
      </w:r>
      <w:r>
        <w:rPr>
          <w:rFonts w:hint="eastAsia"/>
        </w:rPr>
        <w:tab/>
      </w:r>
      <w:r>
        <w:rPr>
          <w:rFonts w:hint="eastAsia"/>
        </w:rPr>
        <w:fldChar w:fldCharType="begin"/>
      </w:r>
      <w:r>
        <w:rPr>
          <w:rFonts w:hint="eastAsia"/>
        </w:rPr>
        <w:instrText xml:space="preserve"> </w:instrText>
      </w:r>
      <w:r>
        <w:instrText xml:space="preserve">PAGEREF _Toc225510373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612725E8">
      <w:pPr>
        <w:pStyle w:val="11"/>
        <w:tabs>
          <w:tab w:val="right" w:leader="dot" w:pos="8296"/>
        </w:tabs>
        <w:rPr>
          <w:rFonts w:hint="eastAsia"/>
          <w:szCs w:val="24"/>
        </w:rPr>
      </w:pPr>
      <w:r>
        <w:fldChar w:fldCharType="begin"/>
      </w:r>
      <w:r>
        <w:instrText xml:space="preserve"> HYPERLINK \l "_Toc225510374" </w:instrText>
      </w:r>
      <w:r>
        <w:fldChar w:fldCharType="separate"/>
      </w:r>
      <w:r>
        <w:rPr>
          <w:rStyle w:val="17"/>
          <w:rFonts w:hint="eastAsia" w:ascii="仿宋" w:hAnsi="仿宋" w:eastAsia="仿宋"/>
          <w:b/>
          <w:bCs/>
        </w:rPr>
        <w:t>五、技术要求</w:t>
      </w:r>
      <w:r>
        <w:rPr>
          <w:rFonts w:hint="eastAsia"/>
        </w:rPr>
        <w:tab/>
      </w:r>
      <w:r>
        <w:rPr>
          <w:rFonts w:hint="eastAsia"/>
        </w:rPr>
        <w:fldChar w:fldCharType="begin"/>
      </w:r>
      <w:r>
        <w:rPr>
          <w:rFonts w:hint="eastAsia"/>
        </w:rPr>
        <w:instrText xml:space="preserve"> </w:instrText>
      </w:r>
      <w:r>
        <w:instrText xml:space="preserve">PAGEREF _Toc225510374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35E62E37">
      <w:pPr>
        <w:pStyle w:val="13"/>
        <w:tabs>
          <w:tab w:val="right" w:leader="dot" w:pos="8296"/>
        </w:tabs>
        <w:ind w:left="440"/>
        <w:rPr>
          <w:rFonts w:hint="eastAsia"/>
        </w:rPr>
      </w:pPr>
      <w:r>
        <w:fldChar w:fldCharType="begin"/>
      </w:r>
      <w:r>
        <w:instrText xml:space="preserve"> HYPERLINK \l "_Toc225510375" </w:instrText>
      </w:r>
      <w:r>
        <w:fldChar w:fldCharType="separate"/>
      </w:r>
      <w:r>
        <w:rPr>
          <w:rStyle w:val="17"/>
          <w:rFonts w:hint="eastAsia" w:ascii="仿宋" w:hAnsi="仿宋" w:eastAsia="仿宋"/>
          <w:b/>
          <w:bCs/>
        </w:rPr>
        <w:t>5.1 防爆标准要求</w:t>
      </w:r>
      <w:r>
        <w:rPr>
          <w:rFonts w:hint="eastAsia"/>
        </w:rPr>
        <w:tab/>
      </w:r>
      <w:r>
        <w:rPr>
          <w:rFonts w:hint="eastAsia"/>
        </w:rPr>
        <w:fldChar w:fldCharType="begin"/>
      </w:r>
      <w:r>
        <w:rPr>
          <w:rFonts w:hint="eastAsia"/>
        </w:rPr>
        <w:instrText xml:space="preserve"> </w:instrText>
      </w:r>
      <w:r>
        <w:instrText xml:space="preserve">PAGEREF _Toc225510375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5A87D443">
      <w:pPr>
        <w:pStyle w:val="13"/>
        <w:tabs>
          <w:tab w:val="right" w:leader="dot" w:pos="8296"/>
        </w:tabs>
        <w:ind w:left="440"/>
        <w:rPr>
          <w:rFonts w:hint="eastAsia"/>
        </w:rPr>
      </w:pPr>
      <w:r>
        <w:fldChar w:fldCharType="begin"/>
      </w:r>
      <w:r>
        <w:instrText xml:space="preserve"> HYPERLINK \l "_Toc225510376" </w:instrText>
      </w:r>
      <w:r>
        <w:fldChar w:fldCharType="separate"/>
      </w:r>
      <w:r>
        <w:rPr>
          <w:rStyle w:val="17"/>
          <w:rFonts w:hint="eastAsia" w:ascii="仿宋" w:hAnsi="仿宋" w:eastAsia="仿宋"/>
          <w:b/>
          <w:bCs/>
        </w:rPr>
        <w:t>5.2 系统功能要求</w:t>
      </w:r>
      <w:r>
        <w:rPr>
          <w:rFonts w:hint="eastAsia"/>
        </w:rPr>
        <w:tab/>
      </w:r>
      <w:r>
        <w:rPr>
          <w:rFonts w:hint="eastAsia"/>
        </w:rPr>
        <w:fldChar w:fldCharType="begin"/>
      </w:r>
      <w:r>
        <w:rPr>
          <w:rFonts w:hint="eastAsia"/>
        </w:rPr>
        <w:instrText xml:space="preserve"> </w:instrText>
      </w:r>
      <w:r>
        <w:instrText xml:space="preserve">PAGEREF _Toc225510376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27E6F7D7">
      <w:pPr>
        <w:pStyle w:val="13"/>
        <w:tabs>
          <w:tab w:val="right" w:leader="dot" w:pos="8296"/>
        </w:tabs>
        <w:ind w:left="440"/>
        <w:rPr>
          <w:rFonts w:hint="eastAsia"/>
        </w:rPr>
      </w:pPr>
      <w:r>
        <w:fldChar w:fldCharType="begin"/>
      </w:r>
      <w:r>
        <w:instrText xml:space="preserve"> HYPERLINK \l "_Toc225510377" </w:instrText>
      </w:r>
      <w:r>
        <w:fldChar w:fldCharType="separate"/>
      </w:r>
      <w:r>
        <w:rPr>
          <w:rStyle w:val="17"/>
          <w:rFonts w:hint="eastAsia" w:ascii="仿宋" w:hAnsi="仿宋" w:eastAsia="仿宋"/>
          <w:b/>
          <w:bCs/>
        </w:rPr>
        <w:t>5.3 验收及交付要求</w:t>
      </w:r>
      <w:r>
        <w:rPr>
          <w:rFonts w:hint="eastAsia"/>
        </w:rPr>
        <w:tab/>
      </w:r>
      <w:r>
        <w:rPr>
          <w:rFonts w:hint="eastAsia"/>
        </w:rPr>
        <w:fldChar w:fldCharType="begin"/>
      </w:r>
      <w:r>
        <w:rPr>
          <w:rFonts w:hint="eastAsia"/>
        </w:rPr>
        <w:instrText xml:space="preserve"> </w:instrText>
      </w:r>
      <w:r>
        <w:instrText xml:space="preserve">PAGEREF _Toc225510377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14:paraId="62BEC35A">
      <w:pPr>
        <w:pStyle w:val="11"/>
        <w:tabs>
          <w:tab w:val="right" w:leader="dot" w:pos="8296"/>
        </w:tabs>
        <w:rPr>
          <w:rFonts w:hint="eastAsia"/>
          <w:szCs w:val="24"/>
        </w:rPr>
      </w:pPr>
      <w:r>
        <w:fldChar w:fldCharType="begin"/>
      </w:r>
      <w:r>
        <w:instrText xml:space="preserve"> HYPERLINK \l "_Toc225510378" </w:instrText>
      </w:r>
      <w:r>
        <w:fldChar w:fldCharType="separate"/>
      </w:r>
      <w:r>
        <w:rPr>
          <w:rStyle w:val="17"/>
          <w:rFonts w:hint="eastAsia" w:ascii="仿宋" w:hAnsi="仿宋" w:eastAsia="仿宋"/>
          <w:b/>
          <w:bCs/>
        </w:rPr>
        <w:t>六、工期计划</w:t>
      </w:r>
      <w:r>
        <w:rPr>
          <w:rFonts w:hint="eastAsia"/>
        </w:rPr>
        <w:tab/>
      </w:r>
      <w:r>
        <w:rPr>
          <w:rFonts w:hint="eastAsia"/>
        </w:rPr>
        <w:fldChar w:fldCharType="begin"/>
      </w:r>
      <w:r>
        <w:rPr>
          <w:rFonts w:hint="eastAsia"/>
        </w:rPr>
        <w:instrText xml:space="preserve"> </w:instrText>
      </w:r>
      <w:r>
        <w:instrText xml:space="preserve">PAGEREF _Toc225510378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14:paraId="4B594224">
      <w:pPr>
        <w:pStyle w:val="11"/>
        <w:tabs>
          <w:tab w:val="right" w:leader="dot" w:pos="8296"/>
        </w:tabs>
        <w:rPr>
          <w:rFonts w:hint="eastAsia"/>
          <w:szCs w:val="24"/>
        </w:rPr>
      </w:pPr>
      <w:r>
        <w:fldChar w:fldCharType="begin"/>
      </w:r>
      <w:r>
        <w:instrText xml:space="preserve"> HYPERLINK \l "_Toc225510379" </w:instrText>
      </w:r>
      <w:r>
        <w:fldChar w:fldCharType="separate"/>
      </w:r>
      <w:r>
        <w:rPr>
          <w:rStyle w:val="17"/>
          <w:rFonts w:hint="eastAsia" w:ascii="仿宋" w:hAnsi="仿宋" w:eastAsia="仿宋"/>
          <w:b/>
          <w:bCs/>
        </w:rPr>
        <w:t>七、质量保证</w:t>
      </w:r>
      <w:r>
        <w:rPr>
          <w:rFonts w:hint="eastAsia"/>
        </w:rPr>
        <w:tab/>
      </w:r>
      <w:r>
        <w:rPr>
          <w:rFonts w:hint="eastAsia"/>
        </w:rPr>
        <w:fldChar w:fldCharType="begin"/>
      </w:r>
      <w:r>
        <w:rPr>
          <w:rFonts w:hint="eastAsia"/>
        </w:rPr>
        <w:instrText xml:space="preserve"> </w:instrText>
      </w:r>
      <w:r>
        <w:instrText xml:space="preserve">PAGEREF _Toc225510379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14:paraId="5E8D9A00">
      <w:pPr>
        <w:rPr>
          <w:rFonts w:ascii="仿宋" w:hAnsi="仿宋" w:eastAsia="仿宋"/>
          <w:b/>
          <w:bCs/>
          <w:sz w:val="24"/>
          <w:szCs w:val="24"/>
        </w:rPr>
      </w:pPr>
      <w:r>
        <w:rPr>
          <w:rFonts w:hint="eastAsia" w:ascii="仿宋" w:hAnsi="仿宋" w:eastAsia="仿宋"/>
          <w:kern w:val="0"/>
          <w:sz w:val="24"/>
          <w:szCs w:val="24"/>
        </w:rPr>
        <w:fldChar w:fldCharType="end"/>
      </w:r>
      <w:bookmarkStart w:id="0" w:name="_Toc225510364"/>
      <w:r>
        <w:rPr>
          <w:rFonts w:ascii="仿宋" w:hAnsi="仿宋" w:eastAsia="仿宋"/>
          <w:b/>
          <w:bCs/>
          <w:sz w:val="24"/>
          <w:szCs w:val="24"/>
        </w:rPr>
        <w:t>一、项目概述</w:t>
      </w:r>
      <w:bookmarkEnd w:id="0"/>
    </w:p>
    <w:p w14:paraId="7959D56D">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七台河新建煤矿现有一套矿用隔爆型提升机变频电控系统，其中变频器合同编号为KT18130-1，绞车电控合同编号为KT11263-1。该系统中，变频器为2018年制造，绞车电控为2011年生产，属两个独立合同设备拼凑配套使用，现已运行多年。因变频器内部绝缘老化，且历次维修后内部布线较为零乱</w:t>
      </w:r>
      <w:r>
        <w:rPr>
          <w:rFonts w:hint="eastAsia" w:ascii="仿宋" w:hAnsi="仿宋" w:eastAsia="仿宋" w:cs="Segoe UI"/>
          <w:kern w:val="0"/>
          <w:sz w:val="24"/>
          <w:szCs w:val="24"/>
          <w:lang w:eastAsia="zh-CN"/>
          <w14:ligatures w14:val="none"/>
        </w:rPr>
        <w:t>，</w:t>
      </w:r>
      <w:r>
        <w:rPr>
          <w:rFonts w:hint="eastAsia" w:ascii="仿宋" w:hAnsi="仿宋" w:eastAsia="仿宋" w:cs="Segoe UI"/>
          <w:kern w:val="0"/>
          <w:sz w:val="24"/>
          <w:szCs w:val="24"/>
          <w:lang w:val="en-US" w:eastAsia="zh-CN"/>
          <w14:ligatures w14:val="none"/>
        </w:rPr>
        <w:t>绝缘性能下降</w:t>
      </w:r>
      <w:r>
        <w:rPr>
          <w:rFonts w:ascii="仿宋" w:hAnsi="仿宋" w:eastAsia="仿宋" w:cs="Segoe UI"/>
          <w:kern w:val="0"/>
          <w:sz w:val="24"/>
          <w:szCs w:val="24"/>
          <w14:ligatures w14:val="none"/>
        </w:rPr>
        <w:t>；绞车电控</w:t>
      </w:r>
      <w:r>
        <w:rPr>
          <w:rFonts w:hint="eastAsia" w:ascii="仿宋" w:hAnsi="仿宋" w:eastAsia="仿宋" w:cs="Segoe UI"/>
          <w:kern w:val="0"/>
          <w:sz w:val="24"/>
          <w:szCs w:val="24"/>
          <w:lang w:eastAsia="zh-CN"/>
          <w14:ligatures w14:val="none"/>
        </w:rPr>
        <w:t>，</w:t>
      </w:r>
      <w:r>
        <w:rPr>
          <w:rFonts w:hint="eastAsia" w:ascii="仿宋" w:hAnsi="仿宋" w:eastAsia="仿宋" w:cs="Segoe UI"/>
          <w:kern w:val="0"/>
          <w:sz w:val="24"/>
          <w:szCs w:val="24"/>
          <w:lang w:val="en-US" w:eastAsia="zh-CN"/>
          <w14:ligatures w14:val="none"/>
        </w:rPr>
        <w:t>在井下封闭空间内闲置多年未用，未送电，线路腐蚀，绝缘性下降，防爆性不理想，</w:t>
      </w:r>
      <w:r>
        <w:rPr>
          <w:rFonts w:ascii="仿宋" w:hAnsi="仿宋" w:eastAsia="仿宋" w:cs="Segoe UI"/>
          <w:kern w:val="0"/>
          <w:sz w:val="24"/>
          <w:szCs w:val="24"/>
          <w14:ligatures w14:val="none"/>
        </w:rPr>
        <w:t>内部器件亦多次改线，隔离板、信号隔离器、继电器触点等均已接近或达到使用损耗上限。为确保提升机系统安全、可靠运行，现需对该套电控系统及变频器实施返厂大修，并对部分设备进行升级改造。</w:t>
      </w:r>
    </w:p>
    <w:p w14:paraId="065DB83A">
      <w:pPr>
        <w:pStyle w:val="3"/>
        <w:rPr>
          <w:rFonts w:ascii="仿宋" w:hAnsi="仿宋" w:eastAsia="仿宋"/>
          <w:b/>
          <w:bCs/>
          <w:color w:val="auto"/>
          <w:sz w:val="24"/>
          <w:szCs w:val="24"/>
        </w:rPr>
      </w:pPr>
      <w:bookmarkStart w:id="1" w:name="_Toc225510365"/>
      <w:r>
        <w:rPr>
          <w:rFonts w:ascii="仿宋" w:hAnsi="仿宋" w:eastAsia="仿宋"/>
          <w:b/>
          <w:bCs/>
          <w:color w:val="auto"/>
          <w:sz w:val="24"/>
          <w:szCs w:val="24"/>
        </w:rPr>
        <w:t>1.1 项目名称</w:t>
      </w:r>
      <w:bookmarkEnd w:id="1"/>
    </w:p>
    <w:p w14:paraId="547145D6">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七台河新建煤矿矿用隔爆型提升机变频电控系统大修及升级改造。</w:t>
      </w:r>
    </w:p>
    <w:p w14:paraId="1891087F">
      <w:pPr>
        <w:pStyle w:val="3"/>
        <w:rPr>
          <w:rFonts w:ascii="仿宋" w:hAnsi="仿宋" w:eastAsia="仿宋"/>
          <w:b/>
          <w:bCs/>
          <w:color w:val="auto"/>
          <w:sz w:val="24"/>
          <w:szCs w:val="24"/>
        </w:rPr>
      </w:pPr>
      <w:bookmarkStart w:id="2" w:name="_Toc225510366"/>
      <w:r>
        <w:rPr>
          <w:rFonts w:ascii="仿宋" w:hAnsi="仿宋" w:eastAsia="仿宋"/>
          <w:b/>
          <w:bCs/>
          <w:color w:val="auto"/>
          <w:sz w:val="24"/>
          <w:szCs w:val="24"/>
        </w:rPr>
        <w:t>1.2 改造目标</w:t>
      </w:r>
      <w:bookmarkEnd w:id="2"/>
    </w:p>
    <w:p w14:paraId="0EFFBD3E">
      <w:pPr>
        <w:numPr>
          <w:ilvl w:val="0"/>
          <w:numId w:val="2"/>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变频器返厂全面检修大修，按防爆标准处理，恢复出厂性能；</w:t>
      </w:r>
    </w:p>
    <w:p w14:paraId="040BA37B">
      <w:pPr>
        <w:numPr>
          <w:ilvl w:val="0"/>
          <w:numId w:val="2"/>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PLC可编程控制箱升级换新，由原三菱FX2N系列升级为西门子S7-1200系列，并与返修后的变频器配套使用；</w:t>
      </w:r>
    </w:p>
    <w:p w14:paraId="4D8B62C0">
      <w:pPr>
        <w:numPr>
          <w:ilvl w:val="0"/>
          <w:numId w:val="2"/>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操作台升级换新，配置两块15寸矿用本安型显示屏，替换原已停产的PB-2显示屏；</w:t>
      </w:r>
    </w:p>
    <w:p w14:paraId="77583B02">
      <w:pPr>
        <w:numPr>
          <w:ilvl w:val="0"/>
          <w:numId w:val="2"/>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增配100P、1000P、GSD1000型编码器，提高系统检测精度。</w:t>
      </w:r>
    </w:p>
    <w:p w14:paraId="0EDCC513">
      <w:pPr>
        <w:pStyle w:val="2"/>
        <w:rPr>
          <w:rFonts w:ascii="仿宋" w:hAnsi="仿宋" w:eastAsia="仿宋"/>
          <w:b/>
          <w:bCs/>
          <w:color w:val="auto"/>
          <w:sz w:val="24"/>
          <w:szCs w:val="24"/>
        </w:rPr>
      </w:pPr>
      <w:bookmarkStart w:id="3" w:name="_Toc225510367"/>
      <w:r>
        <w:rPr>
          <w:rFonts w:ascii="仿宋" w:hAnsi="仿宋" w:eastAsia="仿宋"/>
          <w:b/>
          <w:bCs/>
          <w:color w:val="auto"/>
          <w:sz w:val="24"/>
          <w:szCs w:val="24"/>
        </w:rPr>
        <w:t>二、原设备情况</w:t>
      </w:r>
      <w:bookmarkEnd w:id="3"/>
    </w:p>
    <w:p w14:paraId="46811B6E">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本次大修及升级改造涉及原设备主要参数如下：</w:t>
      </w:r>
    </w:p>
    <w:p w14:paraId="62062745">
      <w:pPr>
        <w:numPr>
          <w:ilvl w:val="0"/>
          <w:numId w:val="3"/>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变频器合同号：</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KT18130-1</w:t>
      </w:r>
    </w:p>
    <w:p w14:paraId="211D79E1">
      <w:pPr>
        <w:numPr>
          <w:ilvl w:val="0"/>
          <w:numId w:val="3"/>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电控系统合同号：</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KT11263-1</w:t>
      </w:r>
    </w:p>
    <w:p w14:paraId="02D9713A">
      <w:pPr>
        <w:numPr>
          <w:ilvl w:val="0"/>
          <w:numId w:val="3"/>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生产年份：</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分别为2018年和2011年</w:t>
      </w:r>
    </w:p>
    <w:p w14:paraId="6AD9724B">
      <w:pPr>
        <w:numPr>
          <w:ilvl w:val="0"/>
          <w:numId w:val="3"/>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变频器型号：</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BPJ1-560/660K矿用隔爆型防爆变频器</w:t>
      </w:r>
    </w:p>
    <w:p w14:paraId="3302983E">
      <w:pPr>
        <w:numPr>
          <w:ilvl w:val="0"/>
          <w:numId w:val="3"/>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PLC控制箱型号：</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KXJ-222-30/1140(660)矿用隔爆兼本安型可编程控制箱</w:t>
      </w:r>
    </w:p>
    <w:p w14:paraId="059749C9">
      <w:pPr>
        <w:numPr>
          <w:ilvl w:val="0"/>
          <w:numId w:val="3"/>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原PLC型号：</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三菱FX2N系列</w:t>
      </w:r>
    </w:p>
    <w:p w14:paraId="17F64D88">
      <w:pPr>
        <w:numPr>
          <w:ilvl w:val="0"/>
          <w:numId w:val="3"/>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原操作台型号：</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TH24矿用本安型提升机电控操作台</w:t>
      </w:r>
    </w:p>
    <w:p w14:paraId="5F092602">
      <w:pPr>
        <w:numPr>
          <w:ilvl w:val="0"/>
          <w:numId w:val="3"/>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原配套显示屏型号：</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PB-2矿用隔爆型显示屏（已停产）</w:t>
      </w:r>
    </w:p>
    <w:p w14:paraId="7D03FF21">
      <w:pPr>
        <w:numPr>
          <w:ilvl w:val="0"/>
          <w:numId w:val="3"/>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备注：</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原操作台煤安证已过期。</w:t>
      </w:r>
    </w:p>
    <w:p w14:paraId="1D5F7E1D">
      <w:pPr>
        <w:pStyle w:val="2"/>
        <w:rPr>
          <w:rFonts w:ascii="仿宋" w:hAnsi="仿宋" w:eastAsia="仿宋"/>
          <w:b/>
          <w:bCs/>
          <w:color w:val="auto"/>
          <w:sz w:val="24"/>
          <w:szCs w:val="24"/>
        </w:rPr>
      </w:pPr>
      <w:bookmarkStart w:id="4" w:name="_Toc225510368"/>
      <w:r>
        <w:rPr>
          <w:rFonts w:ascii="仿宋" w:hAnsi="仿宋" w:eastAsia="仿宋"/>
          <w:b/>
          <w:bCs/>
          <w:color w:val="auto"/>
          <w:sz w:val="24"/>
          <w:szCs w:val="24"/>
        </w:rPr>
        <w:t>三、大修及升级改造内容</w:t>
      </w:r>
      <w:bookmarkEnd w:id="4"/>
    </w:p>
    <w:p w14:paraId="7375F261">
      <w:pPr>
        <w:pStyle w:val="3"/>
        <w:rPr>
          <w:rFonts w:ascii="仿宋" w:hAnsi="仿宋" w:eastAsia="仿宋"/>
          <w:b/>
          <w:bCs/>
          <w:color w:val="auto"/>
          <w:sz w:val="24"/>
          <w:szCs w:val="24"/>
        </w:rPr>
      </w:pPr>
      <w:bookmarkStart w:id="5" w:name="_Toc225510369"/>
      <w:r>
        <w:rPr>
          <w:rFonts w:ascii="仿宋" w:hAnsi="仿宋" w:eastAsia="仿宋"/>
          <w:b/>
          <w:bCs/>
          <w:color w:val="auto"/>
          <w:sz w:val="24"/>
          <w:szCs w:val="24"/>
        </w:rPr>
        <w:t>3.1 防爆变频器返厂大修</w:t>
      </w:r>
      <w:bookmarkEnd w:id="5"/>
    </w:p>
    <w:p w14:paraId="0EE056E5">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对BPJ1-560/660K矿用隔爆型防爆变频器进行返厂全面检修大修，按防爆标准处理。主要包括：</w:t>
      </w:r>
    </w:p>
    <w:p w14:paraId="4F725925">
      <w:pPr>
        <w:numPr>
          <w:ilvl w:val="0"/>
          <w:numId w:val="4"/>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整机拆解检查，对内部功率模块、驱动板、控制板等进行检测、维修或更换；</w:t>
      </w:r>
    </w:p>
    <w:p w14:paraId="70D2C4FE">
      <w:pPr>
        <w:numPr>
          <w:ilvl w:val="0"/>
          <w:numId w:val="4"/>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对电抗器绝缘、接线端子等进行检查维护；</w:t>
      </w:r>
    </w:p>
    <w:p w14:paraId="60DC3B55">
      <w:pPr>
        <w:numPr>
          <w:ilvl w:val="0"/>
          <w:numId w:val="4"/>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对变频器外壳整体喷漆翻新，恢复出厂外观；</w:t>
      </w:r>
    </w:p>
    <w:p w14:paraId="7BDD1DD7">
      <w:pPr>
        <w:numPr>
          <w:ilvl w:val="0"/>
          <w:numId w:val="4"/>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对防爆面进行精密加工处理，确保防爆间隙、表面粗糙度等参数符合相关防爆标准要求；</w:t>
      </w:r>
    </w:p>
    <w:p w14:paraId="6CCECBDF">
      <w:pPr>
        <w:numPr>
          <w:ilvl w:val="0"/>
          <w:numId w:val="4"/>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对散热片进行除尘修复，更换全新散热风机；</w:t>
      </w:r>
    </w:p>
    <w:p w14:paraId="54701323">
      <w:pPr>
        <w:numPr>
          <w:ilvl w:val="0"/>
          <w:numId w:val="4"/>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完成整机绝缘测试、耐压测试和功能调试，并出具检修合格报告。</w:t>
      </w:r>
    </w:p>
    <w:p w14:paraId="6A9AF98F">
      <w:pPr>
        <w:pStyle w:val="3"/>
        <w:rPr>
          <w:rFonts w:ascii="仿宋" w:hAnsi="仿宋" w:eastAsia="仿宋"/>
          <w:b/>
          <w:bCs/>
          <w:color w:val="auto"/>
          <w:sz w:val="24"/>
          <w:szCs w:val="24"/>
        </w:rPr>
      </w:pPr>
      <w:bookmarkStart w:id="6" w:name="_Toc225510370"/>
      <w:r>
        <w:rPr>
          <w:rFonts w:ascii="仿宋" w:hAnsi="仿宋" w:eastAsia="仿宋"/>
          <w:b/>
          <w:bCs/>
          <w:color w:val="auto"/>
          <w:sz w:val="24"/>
          <w:szCs w:val="24"/>
        </w:rPr>
        <w:t>3.2 PLC可编程控制箱升级换新</w:t>
      </w:r>
      <w:bookmarkEnd w:id="6"/>
    </w:p>
    <w:p w14:paraId="5664C69A">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原KXJ-222-30/1140(660)矿用隔爆兼本安型可编程控制箱内部采用三菱FX2N系列PLC，该型号已停产多年，备件采购困难，维护保障能力不足。本次拟将PLC控制箱整体换新，具体要求如下：</w:t>
      </w:r>
    </w:p>
    <w:p w14:paraId="7323F21C">
      <w:pPr>
        <w:numPr>
          <w:ilvl w:val="0"/>
          <w:numId w:val="5"/>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新控制箱型号：KXJ-212-30/1140(660)(E)矿用隔爆兼本安型可编程控制箱，安标号MAB130401；</w:t>
      </w:r>
    </w:p>
    <w:p w14:paraId="450C1927">
      <w:pPr>
        <w:numPr>
          <w:ilvl w:val="0"/>
          <w:numId w:val="5"/>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PLC由三菱FX2N升级为西门子S7-1200系列，并按照返修后变频器的通讯接口和控制接口进行配套设计，确保匹配使用；</w:t>
      </w:r>
    </w:p>
    <w:p w14:paraId="7C2DC61B">
      <w:pPr>
        <w:numPr>
          <w:ilvl w:val="0"/>
          <w:numId w:val="5"/>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重新编写PLC控制程序，实现提升机全部控制功能及安全保护功能；</w:t>
      </w:r>
    </w:p>
    <w:p w14:paraId="0315EAF4">
      <w:pPr>
        <w:numPr>
          <w:ilvl w:val="0"/>
          <w:numId w:val="5"/>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新控制箱按现行防爆标准设计制造，并具备完整的防爆合格证和安全标志证书。</w:t>
      </w:r>
    </w:p>
    <w:p w14:paraId="7AE350E7">
      <w:pPr>
        <w:pStyle w:val="3"/>
        <w:rPr>
          <w:rFonts w:ascii="仿宋" w:hAnsi="仿宋" w:eastAsia="仿宋"/>
          <w:b/>
          <w:bCs/>
          <w:color w:val="auto"/>
          <w:sz w:val="24"/>
          <w:szCs w:val="24"/>
        </w:rPr>
      </w:pPr>
      <w:bookmarkStart w:id="7" w:name="_Toc225510371"/>
      <w:r>
        <w:rPr>
          <w:rFonts w:ascii="仿宋" w:hAnsi="仿宋" w:eastAsia="仿宋"/>
          <w:b/>
          <w:bCs/>
          <w:color w:val="auto"/>
          <w:sz w:val="24"/>
          <w:szCs w:val="24"/>
        </w:rPr>
        <w:t>3.3 操作台升级换新</w:t>
      </w:r>
      <w:bookmarkEnd w:id="7"/>
    </w:p>
    <w:p w14:paraId="7DA3ABF2">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原TH24矿用本安型提升机电控操作台配套PB-2矿用隔爆型显示屏，因显示屏已停产，且煤安证已经更换，无法继续维护和保障备件供应，现对操作台整体换新。具体要求如下：</w:t>
      </w:r>
    </w:p>
    <w:p w14:paraId="0B0867C4">
      <w:pPr>
        <w:numPr>
          <w:ilvl w:val="0"/>
          <w:numId w:val="6"/>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新操作台型号：TH24X(E)矿用本安型操作台；</w:t>
      </w:r>
    </w:p>
    <w:p w14:paraId="5C817FA0">
      <w:pPr>
        <w:numPr>
          <w:ilvl w:val="0"/>
          <w:numId w:val="6"/>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配置两块15寸矿用本安型显示屏，替代原PB-2显示屏；</w:t>
      </w:r>
    </w:p>
    <w:p w14:paraId="6F0A0A85">
      <w:pPr>
        <w:numPr>
          <w:ilvl w:val="0"/>
          <w:numId w:val="6"/>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操作台按返修后变频器及升级后PLC控制箱接口标准进行配套设计，确保系统整体匹配；</w:t>
      </w:r>
    </w:p>
    <w:p w14:paraId="6F4271A5">
      <w:pPr>
        <w:numPr>
          <w:ilvl w:val="0"/>
          <w:numId w:val="6"/>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操作面板按钮、指示灯、操作手柄等元器件全部采用全新件。</w:t>
      </w:r>
    </w:p>
    <w:p w14:paraId="630EC558">
      <w:pPr>
        <w:pStyle w:val="3"/>
        <w:rPr>
          <w:rFonts w:ascii="仿宋" w:hAnsi="仿宋" w:eastAsia="仿宋"/>
          <w:b/>
          <w:bCs/>
          <w:color w:val="auto"/>
          <w:sz w:val="24"/>
          <w:szCs w:val="24"/>
        </w:rPr>
      </w:pPr>
      <w:bookmarkStart w:id="8" w:name="_Toc225510372"/>
      <w:r>
        <w:rPr>
          <w:rFonts w:ascii="仿宋" w:hAnsi="仿宋" w:eastAsia="仿宋"/>
          <w:b/>
          <w:bCs/>
          <w:color w:val="auto"/>
          <w:sz w:val="24"/>
          <w:szCs w:val="24"/>
        </w:rPr>
        <w:t>3.4 新增编码器</w:t>
      </w:r>
      <w:bookmarkEnd w:id="8"/>
    </w:p>
    <w:p w14:paraId="48B5AB4B">
      <w:pPr>
        <w:shd w:val="clear" w:color="auto" w:fill="FFFFFF"/>
        <w:spacing w:after="180" w:line="360" w:lineRule="auto"/>
        <w:contextualSpacing/>
        <w:rPr>
          <w:rFonts w:ascii="仿宋" w:hAnsi="仿宋" w:eastAsia="仿宋" w:cs="Segoe UI"/>
          <w:kern w:val="0"/>
          <w:sz w:val="24"/>
          <w:szCs w:val="24"/>
          <w14:ligatures w14:val="none"/>
        </w:rPr>
      </w:pPr>
      <w:r>
        <w:rPr>
          <w:rFonts w:hint="eastAsia" w:ascii="仿宋" w:hAnsi="仿宋" w:eastAsia="仿宋" w:cs="Segoe UI"/>
          <w:kern w:val="0"/>
          <w:sz w:val="24"/>
          <w:szCs w:val="24"/>
          <w:lang w:val="en-US" w:eastAsia="zh-CN"/>
          <w14:ligatures w14:val="none"/>
        </w:rPr>
        <w:t>原电控编码器已损坏、报废，</w:t>
      </w:r>
      <w:r>
        <w:rPr>
          <w:rFonts w:ascii="仿宋" w:hAnsi="仿宋" w:eastAsia="仿宋" w:cs="Segoe UI"/>
          <w:kern w:val="0"/>
          <w:sz w:val="24"/>
          <w:szCs w:val="24"/>
          <w14:ligatures w14:val="none"/>
        </w:rPr>
        <w:t>本次改造新增：</w:t>
      </w:r>
    </w:p>
    <w:p w14:paraId="7C792C6A">
      <w:pPr>
        <w:numPr>
          <w:ilvl w:val="0"/>
          <w:numId w:val="7"/>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100脉冲编码器1台</w:t>
      </w:r>
      <w:r>
        <w:rPr>
          <w:rFonts w:hint="eastAsia" w:ascii="仿宋" w:hAnsi="仿宋" w:eastAsia="仿宋" w:cs="Segoe UI"/>
          <w:kern w:val="0"/>
          <w:sz w:val="24"/>
          <w:szCs w:val="24"/>
          <w:lang w:eastAsia="zh-CN"/>
          <w14:ligatures w14:val="none"/>
        </w:rPr>
        <w:t>。</w:t>
      </w:r>
    </w:p>
    <w:p w14:paraId="4FA9EC59">
      <w:pPr>
        <w:numPr>
          <w:ilvl w:val="0"/>
          <w:numId w:val="7"/>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1000脉冲编码器1台。</w:t>
      </w:r>
    </w:p>
    <w:p w14:paraId="44DCE654">
      <w:pPr>
        <w:pStyle w:val="2"/>
        <w:rPr>
          <w:rFonts w:ascii="仿宋" w:hAnsi="仿宋" w:eastAsia="仿宋"/>
          <w:b/>
          <w:bCs/>
          <w:color w:val="auto"/>
          <w:sz w:val="24"/>
          <w:szCs w:val="24"/>
        </w:rPr>
      </w:pPr>
      <w:bookmarkStart w:id="9" w:name="_Toc225510373"/>
      <w:r>
        <w:rPr>
          <w:rFonts w:ascii="仿宋" w:hAnsi="仿宋" w:eastAsia="仿宋"/>
          <w:b/>
          <w:bCs/>
          <w:color w:val="auto"/>
          <w:sz w:val="24"/>
          <w:szCs w:val="24"/>
        </w:rPr>
        <w:t>四、升级后设备配置</w:t>
      </w:r>
      <w:bookmarkEnd w:id="9"/>
    </w:p>
    <w:p w14:paraId="697CEFBE">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升级改造完成后，系统主要设备配置如下：</w:t>
      </w:r>
    </w:p>
    <w:p w14:paraId="790633F2">
      <w:pPr>
        <w:numPr>
          <w:ilvl w:val="0"/>
          <w:numId w:val="8"/>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变频器：</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BPJ1-560/660K</w:t>
      </w:r>
    </w:p>
    <w:p w14:paraId="7E03C8A4">
      <w:pPr>
        <w:numPr>
          <w:ilvl w:val="0"/>
          <w:numId w:val="8"/>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PLC控制箱：</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KXJ-212-30/1140(660)(E)矿用隔爆兼本安型可编程控制箱</w:t>
      </w:r>
    </w:p>
    <w:p w14:paraId="723533FC">
      <w:pPr>
        <w:numPr>
          <w:ilvl w:val="0"/>
          <w:numId w:val="8"/>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PLC型号：</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西门子S7-1200系列</w:t>
      </w:r>
    </w:p>
    <w:p w14:paraId="7E1846D9">
      <w:pPr>
        <w:numPr>
          <w:ilvl w:val="0"/>
          <w:numId w:val="8"/>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操作台：</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TH24X(E)矿用本安型操作台</w:t>
      </w:r>
    </w:p>
    <w:p w14:paraId="0463003A">
      <w:pPr>
        <w:numPr>
          <w:ilvl w:val="0"/>
          <w:numId w:val="8"/>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显示终端：</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两块15寸矿用本安型显示屏</w:t>
      </w:r>
    </w:p>
    <w:p w14:paraId="650C5B41">
      <w:pPr>
        <w:numPr>
          <w:ilvl w:val="0"/>
          <w:numId w:val="8"/>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b/>
          <w:bCs/>
          <w:kern w:val="0"/>
          <w:sz w:val="24"/>
          <w:szCs w:val="24"/>
          <w14:ligatures w14:val="none"/>
        </w:rPr>
        <w:t>新增编码器：</w:t>
      </w:r>
      <w:r>
        <w:rPr>
          <w:rFonts w:ascii="Calibri" w:hAnsi="Calibri" w:eastAsia="仿宋" w:cs="Calibri"/>
          <w:kern w:val="0"/>
          <w:sz w:val="24"/>
          <w:szCs w:val="24"/>
          <w14:ligatures w14:val="none"/>
        </w:rPr>
        <w:t> </w:t>
      </w:r>
      <w:r>
        <w:rPr>
          <w:rFonts w:ascii="仿宋" w:hAnsi="仿宋" w:eastAsia="仿宋" w:cs="Segoe UI"/>
          <w:kern w:val="0"/>
          <w:sz w:val="24"/>
          <w:szCs w:val="24"/>
          <w14:ligatures w14:val="none"/>
        </w:rPr>
        <w:t>100P编码器1台、1000P编码器1台</w:t>
      </w:r>
    </w:p>
    <w:p w14:paraId="2615B092">
      <w:pPr>
        <w:pStyle w:val="2"/>
        <w:rPr>
          <w:rFonts w:ascii="仿宋" w:hAnsi="仿宋" w:eastAsia="仿宋"/>
          <w:b/>
          <w:bCs/>
          <w:color w:val="auto"/>
          <w:sz w:val="24"/>
          <w:szCs w:val="24"/>
        </w:rPr>
      </w:pPr>
      <w:bookmarkStart w:id="10" w:name="_Toc225510374"/>
      <w:r>
        <w:rPr>
          <w:rFonts w:ascii="仿宋" w:hAnsi="仿宋" w:eastAsia="仿宋"/>
          <w:b/>
          <w:bCs/>
          <w:color w:val="auto"/>
          <w:sz w:val="24"/>
          <w:szCs w:val="24"/>
        </w:rPr>
        <w:t>五、技术要求</w:t>
      </w:r>
      <w:bookmarkEnd w:id="10"/>
    </w:p>
    <w:p w14:paraId="2923905B">
      <w:pPr>
        <w:pStyle w:val="3"/>
        <w:rPr>
          <w:rFonts w:ascii="仿宋" w:hAnsi="仿宋" w:eastAsia="仿宋"/>
          <w:b/>
          <w:bCs/>
          <w:color w:val="auto"/>
          <w:sz w:val="24"/>
          <w:szCs w:val="24"/>
        </w:rPr>
      </w:pPr>
      <w:bookmarkStart w:id="11" w:name="_Toc225510375"/>
      <w:r>
        <w:rPr>
          <w:rFonts w:ascii="仿宋" w:hAnsi="仿宋" w:eastAsia="仿宋"/>
          <w:b/>
          <w:bCs/>
          <w:color w:val="auto"/>
          <w:sz w:val="24"/>
          <w:szCs w:val="24"/>
        </w:rPr>
        <w:t>5.1 防爆标准要求</w:t>
      </w:r>
      <w:bookmarkEnd w:id="11"/>
    </w:p>
    <w:p w14:paraId="5465B931">
      <w:pPr>
        <w:numPr>
          <w:ilvl w:val="0"/>
          <w:numId w:val="9"/>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变频器大修后须符合GB/T 3836.1-2021《爆炸性环境 第1部分：设备 通用要求》及GB/T 3836.2-2021《爆炸性环境 第2部分：由隔爆外壳“d”保护的设备》等相关标准要求；</w:t>
      </w:r>
    </w:p>
    <w:p w14:paraId="5D7E673D">
      <w:pPr>
        <w:numPr>
          <w:ilvl w:val="0"/>
          <w:numId w:val="9"/>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防爆面加工精度须符合防爆标准对隔爆间隙和表面粗糙度的要求，并经检测合格；</w:t>
      </w:r>
    </w:p>
    <w:p w14:paraId="554B7237">
      <w:pPr>
        <w:numPr>
          <w:ilvl w:val="0"/>
          <w:numId w:val="9"/>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新PLC控制箱及操作台须具备有效的防爆合格证和煤矿矿用产品安全标志证书；</w:t>
      </w:r>
    </w:p>
    <w:p w14:paraId="4A6986C4">
      <w:pPr>
        <w:numPr>
          <w:ilvl w:val="0"/>
          <w:numId w:val="9"/>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所有防爆设备维修后出具质检报告。</w:t>
      </w:r>
    </w:p>
    <w:p w14:paraId="4D63DE6D">
      <w:pPr>
        <w:pStyle w:val="3"/>
        <w:rPr>
          <w:rFonts w:ascii="仿宋" w:hAnsi="仿宋" w:eastAsia="仿宋"/>
          <w:b/>
          <w:bCs/>
          <w:color w:val="auto"/>
          <w:sz w:val="24"/>
          <w:szCs w:val="24"/>
        </w:rPr>
      </w:pPr>
      <w:bookmarkStart w:id="12" w:name="_Toc225510376"/>
      <w:r>
        <w:rPr>
          <w:rFonts w:ascii="仿宋" w:hAnsi="仿宋" w:eastAsia="仿宋"/>
          <w:b/>
          <w:bCs/>
          <w:color w:val="auto"/>
          <w:sz w:val="24"/>
          <w:szCs w:val="24"/>
        </w:rPr>
        <w:t>5.2 系统功能要求</w:t>
      </w:r>
      <w:bookmarkEnd w:id="12"/>
    </w:p>
    <w:p w14:paraId="0B58D18B">
      <w:pPr>
        <w:numPr>
          <w:ilvl w:val="0"/>
          <w:numId w:val="10"/>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变频调速系统大修后须满足原设计功能指标，保证提升机平稳启动、运行、减速和停车；</w:t>
      </w:r>
    </w:p>
    <w:p w14:paraId="696B8215">
      <w:pPr>
        <w:numPr>
          <w:ilvl w:val="0"/>
          <w:numId w:val="10"/>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PLC控制系统升级后须实现提升机全部自动化控制功能，包括速度控制、位置控制、安全制动及过卷保护、过速保护、过载保护、限速保护、松绳保护等功能；</w:t>
      </w:r>
    </w:p>
    <w:p w14:paraId="5C6A4F7F">
      <w:pPr>
        <w:numPr>
          <w:ilvl w:val="0"/>
          <w:numId w:val="10"/>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操作台显示终端须实时显示提升机运行状态、速度、位置、故障信息等参数；</w:t>
      </w:r>
    </w:p>
    <w:p w14:paraId="75789C3E">
      <w:pPr>
        <w:numPr>
          <w:ilvl w:val="0"/>
          <w:numId w:val="10"/>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系统须具备完善的故障自诊断、故障记录和报警功能；</w:t>
      </w:r>
    </w:p>
    <w:p w14:paraId="2F0EDFF3">
      <w:pPr>
        <w:numPr>
          <w:ilvl w:val="0"/>
          <w:numId w:val="10"/>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编码器安装后须进行精度标定和调试，确保位置检测和速度检测满足使用要求。</w:t>
      </w:r>
    </w:p>
    <w:p w14:paraId="68B236A1">
      <w:pPr>
        <w:pStyle w:val="3"/>
        <w:rPr>
          <w:rFonts w:ascii="仿宋" w:hAnsi="仿宋" w:eastAsia="仿宋"/>
          <w:b/>
          <w:bCs/>
          <w:color w:val="auto"/>
          <w:sz w:val="24"/>
          <w:szCs w:val="24"/>
        </w:rPr>
      </w:pPr>
      <w:bookmarkStart w:id="13" w:name="_Toc225510377"/>
      <w:r>
        <w:rPr>
          <w:rFonts w:ascii="仿宋" w:hAnsi="仿宋" w:eastAsia="仿宋"/>
          <w:b/>
          <w:bCs/>
          <w:color w:val="auto"/>
          <w:sz w:val="24"/>
          <w:szCs w:val="24"/>
        </w:rPr>
        <w:t>5.3 验收及交付要求</w:t>
      </w:r>
      <w:bookmarkEnd w:id="13"/>
    </w:p>
    <w:p w14:paraId="17E6B806">
      <w:pPr>
        <w:numPr>
          <w:ilvl w:val="0"/>
          <w:numId w:val="11"/>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变频器大修完成后，提供完整的检修试验报告和防爆检验报告；</w:t>
      </w:r>
    </w:p>
    <w:p w14:paraId="092E897C">
      <w:pPr>
        <w:numPr>
          <w:ilvl w:val="0"/>
          <w:numId w:val="11"/>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新PLC控制箱和操作台提供出厂合格证、防爆合格证和安全标志证书；</w:t>
      </w:r>
    </w:p>
    <w:p w14:paraId="595D2294">
      <w:pPr>
        <w:numPr>
          <w:ilvl w:val="0"/>
          <w:numId w:val="11"/>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提供完整的系统图纸、接线图、使用说明书；</w:t>
      </w:r>
    </w:p>
    <w:p w14:paraId="65045B02">
      <w:pPr>
        <w:numPr>
          <w:ilvl w:val="0"/>
          <w:numId w:val="11"/>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设备返厂运输过程中须做好防爆面及精密部件的防护包装；</w:t>
      </w:r>
    </w:p>
    <w:p w14:paraId="7324545C">
      <w:pPr>
        <w:numPr>
          <w:ilvl w:val="0"/>
          <w:numId w:val="11"/>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设备安装调试由中信重工开诚智能装备有限公司派专业技术人员到矿指导安装和系统调试，调试合格后交付使用。</w:t>
      </w:r>
    </w:p>
    <w:p w14:paraId="53C53832">
      <w:pPr>
        <w:pStyle w:val="2"/>
        <w:rPr>
          <w:rFonts w:ascii="仿宋" w:hAnsi="仿宋" w:eastAsia="仿宋"/>
          <w:b/>
          <w:bCs/>
          <w:color w:val="auto"/>
          <w:sz w:val="24"/>
          <w:szCs w:val="24"/>
        </w:rPr>
      </w:pPr>
      <w:bookmarkStart w:id="14" w:name="_Toc225510378"/>
      <w:r>
        <w:rPr>
          <w:rFonts w:ascii="仿宋" w:hAnsi="仿宋" w:eastAsia="仿宋"/>
          <w:b/>
          <w:bCs/>
          <w:color w:val="auto"/>
          <w:sz w:val="24"/>
          <w:szCs w:val="24"/>
        </w:rPr>
        <w:t>六、工期计划</w:t>
      </w:r>
      <w:bookmarkEnd w:id="14"/>
    </w:p>
    <w:p w14:paraId="5009A9DC">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本次大修及升级改造项目预计工期如下：</w:t>
      </w:r>
    </w:p>
    <w:p w14:paraId="57286A41">
      <w:pPr>
        <w:numPr>
          <w:numId w:val="0"/>
        </w:numPr>
        <w:shd w:val="clear" w:color="auto" w:fill="FFFFFF"/>
        <w:spacing w:before="100" w:beforeAutospacing="1" w:after="180" w:line="360" w:lineRule="auto"/>
        <w:ind w:left="360" w:leftChars="0"/>
        <w:contextualSpacing/>
        <w:textAlignment w:val="top"/>
        <w:rPr>
          <w:rFonts w:hint="default" w:ascii="仿宋" w:hAnsi="仿宋" w:eastAsia="仿宋" w:cs="Segoe UI"/>
          <w:kern w:val="0"/>
          <w:sz w:val="24"/>
          <w:szCs w:val="24"/>
          <w:lang w:val="en-US" w:eastAsia="zh-CN"/>
          <w14:ligatures w14:val="none"/>
        </w:rPr>
      </w:pPr>
      <w:r>
        <w:rPr>
          <w:rFonts w:ascii="仿宋" w:hAnsi="仿宋" w:eastAsia="仿宋" w:cs="Segoe UI"/>
          <w:kern w:val="0"/>
          <w:sz w:val="24"/>
          <w:szCs w:val="24"/>
          <w14:ligatures w14:val="none"/>
        </w:rPr>
        <w:t>变频器返厂大修、PLC控制箱换新制造、操作台换新制造：各30至40个工作日；厂内联调测试：</w:t>
      </w:r>
      <w:r>
        <w:rPr>
          <w:rFonts w:ascii="仿宋" w:hAnsi="仿宋" w:eastAsia="仿宋" w:cs="Segoe UI"/>
          <w:kern w:val="0"/>
          <w:sz w:val="24"/>
          <w:szCs w:val="24"/>
          <w:highlight w:val="none"/>
          <w14:ligatures w14:val="none"/>
        </w:rPr>
        <w:t>5至7个工作日；</w:t>
      </w:r>
      <w:r>
        <w:rPr>
          <w:rFonts w:ascii="仿宋" w:hAnsi="仿宋" w:eastAsia="仿宋" w:cs="Segoe UI"/>
          <w:kern w:val="0"/>
          <w:sz w:val="24"/>
          <w:szCs w:val="24"/>
          <w14:ligatures w14:val="none"/>
        </w:rPr>
        <w:t>在具备条件情况下，总工期预计45至55个工作日</w:t>
      </w:r>
      <w:r>
        <w:rPr>
          <w:rFonts w:hint="eastAsia" w:ascii="仿宋" w:hAnsi="仿宋" w:eastAsia="仿宋" w:cs="Segoe UI"/>
          <w:kern w:val="0"/>
          <w:sz w:val="24"/>
          <w:szCs w:val="24"/>
          <w:lang w:eastAsia="zh-CN"/>
          <w14:ligatures w14:val="none"/>
        </w:rPr>
        <w:t>，</w:t>
      </w:r>
      <w:r>
        <w:rPr>
          <w:rFonts w:hint="eastAsia" w:ascii="仿宋" w:hAnsi="仿宋" w:eastAsia="仿宋" w:cs="Segoe UI"/>
          <w:kern w:val="0"/>
          <w:sz w:val="24"/>
          <w:szCs w:val="24"/>
          <w:lang w:val="en-US" w:eastAsia="zh-CN"/>
          <w14:ligatures w14:val="none"/>
        </w:rPr>
        <w:t>完成后，打包发货。</w:t>
      </w:r>
      <w:bookmarkStart w:id="16" w:name="_GoBack"/>
      <w:bookmarkEnd w:id="16"/>
    </w:p>
    <w:p w14:paraId="4481339A">
      <w:pPr>
        <w:pStyle w:val="2"/>
        <w:rPr>
          <w:rFonts w:ascii="仿宋" w:hAnsi="仿宋" w:eastAsia="仿宋"/>
          <w:b/>
          <w:bCs/>
          <w:color w:val="auto"/>
          <w:sz w:val="24"/>
          <w:szCs w:val="24"/>
        </w:rPr>
      </w:pPr>
      <w:bookmarkStart w:id="15" w:name="_Toc225510379"/>
      <w:r>
        <w:rPr>
          <w:rFonts w:ascii="仿宋" w:hAnsi="仿宋" w:eastAsia="仿宋"/>
          <w:b/>
          <w:bCs/>
          <w:color w:val="auto"/>
          <w:sz w:val="24"/>
          <w:szCs w:val="24"/>
        </w:rPr>
        <w:t>七、质量保证</w:t>
      </w:r>
      <w:bookmarkEnd w:id="15"/>
    </w:p>
    <w:p w14:paraId="2BA57BAE">
      <w:pPr>
        <w:numPr>
          <w:ilvl w:val="0"/>
          <w:numId w:val="12"/>
        </w:numPr>
        <w:shd w:val="clear" w:color="auto" w:fill="FFFFFF"/>
        <w:spacing w:before="100" w:beforeAutospacing="1"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变频器大修后整机质保期为12个月；</w:t>
      </w:r>
    </w:p>
    <w:p w14:paraId="068688CC">
      <w:pPr>
        <w:numPr>
          <w:ilvl w:val="0"/>
          <w:numId w:val="12"/>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新制PLC控制箱质保期为12个月；</w:t>
      </w:r>
    </w:p>
    <w:p w14:paraId="723AB1A1">
      <w:pPr>
        <w:numPr>
          <w:ilvl w:val="0"/>
          <w:numId w:val="12"/>
        </w:numPr>
        <w:shd w:val="clear" w:color="auto" w:fill="FFFFFF"/>
        <w:spacing w:after="180" w:line="360" w:lineRule="auto"/>
        <w:contextualSpacing/>
        <w:textAlignment w:val="top"/>
        <w:rPr>
          <w:rFonts w:ascii="仿宋" w:hAnsi="仿宋" w:eastAsia="仿宋" w:cs="Segoe UI"/>
          <w:kern w:val="0"/>
          <w:sz w:val="24"/>
          <w:szCs w:val="24"/>
          <w14:ligatures w14:val="none"/>
        </w:rPr>
      </w:pPr>
      <w:r>
        <w:rPr>
          <w:rFonts w:ascii="仿宋" w:hAnsi="仿宋" w:eastAsia="仿宋" w:cs="Segoe UI"/>
          <w:kern w:val="0"/>
          <w:sz w:val="24"/>
          <w:szCs w:val="24"/>
          <w14:ligatures w14:val="none"/>
        </w:rPr>
        <w:t>新制操作台质保期为12个月。</w:t>
      </w:r>
    </w:p>
    <w:p w14:paraId="50BD5E2E">
      <w:pPr>
        <w:shd w:val="clear" w:color="auto" w:fill="FFFFFF"/>
        <w:spacing w:after="180" w:line="360" w:lineRule="auto"/>
        <w:contextualSpacing/>
        <w:rPr>
          <w:rFonts w:ascii="仿宋" w:hAnsi="仿宋" w:eastAsia="仿宋" w:cs="Segoe UI"/>
          <w:kern w:val="0"/>
          <w:sz w:val="24"/>
          <w:szCs w:val="24"/>
          <w14:ligatures w14:val="none"/>
        </w:rPr>
      </w:pPr>
      <w:r>
        <w:rPr>
          <w:rFonts w:ascii="仿宋" w:hAnsi="仿宋" w:eastAsia="仿宋" w:cs="Segoe UI"/>
          <w:kern w:val="0"/>
          <w:sz w:val="24"/>
          <w:szCs w:val="24"/>
          <w14:ligatures w14:val="none"/>
        </w:rPr>
        <w:t>质保期均自验收合格之日起计算。质保期内，因产品质量原因造成的故障，由中信重工开诚智能装备有限公司免费维修或更换；质保期外，提供终身</w:t>
      </w:r>
      <w:r>
        <w:rPr>
          <w:rFonts w:hint="eastAsia" w:ascii="仿宋" w:hAnsi="仿宋" w:eastAsia="仿宋" w:cs="Segoe UI"/>
          <w:kern w:val="0"/>
          <w:sz w:val="24"/>
          <w:szCs w:val="24"/>
          <w:lang w:val="en-US" w:eastAsia="zh-CN"/>
          <w14:ligatures w14:val="none"/>
        </w:rPr>
        <w:t>免费</w:t>
      </w:r>
      <w:r>
        <w:rPr>
          <w:rFonts w:ascii="仿宋" w:hAnsi="仿宋" w:eastAsia="仿宋" w:cs="Segoe UI"/>
          <w:kern w:val="0"/>
          <w:sz w:val="24"/>
          <w:szCs w:val="24"/>
          <w14:ligatures w14:val="none"/>
        </w:rPr>
        <w:t>技术服务和</w:t>
      </w:r>
      <w:r>
        <w:rPr>
          <w:rFonts w:hint="eastAsia" w:ascii="仿宋" w:hAnsi="仿宋" w:eastAsia="仿宋" w:cs="Segoe UI"/>
          <w:kern w:val="0"/>
          <w:sz w:val="24"/>
          <w:szCs w:val="24"/>
          <w:lang w:val="en-US" w:eastAsia="zh-CN"/>
          <w14:ligatures w14:val="none"/>
        </w:rPr>
        <w:t>有偿</w:t>
      </w:r>
      <w:r>
        <w:rPr>
          <w:rFonts w:ascii="仿宋" w:hAnsi="仿宋" w:eastAsia="仿宋" w:cs="Segoe UI"/>
          <w:kern w:val="0"/>
          <w:sz w:val="24"/>
          <w:szCs w:val="24"/>
          <w14:ligatures w14:val="none"/>
        </w:rPr>
        <w:t>备件供应。</w:t>
      </w:r>
    </w:p>
    <w:p w14:paraId="03A2543F">
      <w:pPr>
        <w:spacing w:line="360" w:lineRule="auto"/>
        <w:contextualSpacing/>
        <w:rPr>
          <w:rFonts w:hint="eastAsia" w:ascii="仿宋" w:hAnsi="仿宋" w:eastAsia="仿宋"/>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55457"/>
    <w:multiLevelType w:val="multilevel"/>
    <w:tmpl w:val="02D5545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34E500C0"/>
    <w:multiLevelType w:val="multilevel"/>
    <w:tmpl w:val="34E500C0"/>
    <w:lvl w:ilvl="0" w:tentative="0">
      <w:start w:val="1"/>
      <w:numFmt w:val="bullet"/>
      <w:pStyle w:val="18"/>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351A71A6"/>
    <w:multiLevelType w:val="multilevel"/>
    <w:tmpl w:val="351A71A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37805C45"/>
    <w:multiLevelType w:val="multilevel"/>
    <w:tmpl w:val="37805C4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D1B7954"/>
    <w:multiLevelType w:val="multilevel"/>
    <w:tmpl w:val="3D1B79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445C3EEB"/>
    <w:multiLevelType w:val="multilevel"/>
    <w:tmpl w:val="445C3EE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5F82440D"/>
    <w:multiLevelType w:val="multilevel"/>
    <w:tmpl w:val="5F82440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5FAC1C3E"/>
    <w:multiLevelType w:val="multilevel"/>
    <w:tmpl w:val="5FAC1C3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30A3892"/>
    <w:multiLevelType w:val="multilevel"/>
    <w:tmpl w:val="630A389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6C182572"/>
    <w:multiLevelType w:val="multilevel"/>
    <w:tmpl w:val="6C18257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6CE31862"/>
    <w:multiLevelType w:val="multilevel"/>
    <w:tmpl w:val="6CE3186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77334288"/>
    <w:multiLevelType w:val="multilevel"/>
    <w:tmpl w:val="7733428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
  </w:num>
  <w:num w:numId="2">
    <w:abstractNumId w:val="7"/>
  </w:num>
  <w:num w:numId="3">
    <w:abstractNumId w:val="4"/>
  </w:num>
  <w:num w:numId="4">
    <w:abstractNumId w:val="6"/>
  </w:num>
  <w:num w:numId="5">
    <w:abstractNumId w:val="2"/>
  </w:num>
  <w:num w:numId="6">
    <w:abstractNumId w:val="5"/>
  </w:num>
  <w:num w:numId="7">
    <w:abstractNumId w:val="9"/>
  </w:num>
  <w:num w:numId="8">
    <w:abstractNumId w:val="10"/>
  </w:num>
  <w:num w:numId="9">
    <w:abstractNumId w:val="3"/>
  </w:num>
  <w:num w:numId="10">
    <w:abstractNumId w:val="11"/>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918"/>
    <w:rsid w:val="001B4726"/>
    <w:rsid w:val="002D7622"/>
    <w:rsid w:val="00656829"/>
    <w:rsid w:val="00824857"/>
    <w:rsid w:val="00861918"/>
    <w:rsid w:val="00C8353A"/>
    <w:rsid w:val="00C87C88"/>
    <w:rsid w:val="00CD7408"/>
    <w:rsid w:val="062C3D8A"/>
    <w:rsid w:val="0C910F2B"/>
    <w:rsid w:val="1097590F"/>
    <w:rsid w:val="28E72C2A"/>
    <w:rsid w:val="31886114"/>
    <w:rsid w:val="334A11BD"/>
    <w:rsid w:val="33D41102"/>
    <w:rsid w:val="4AF62C56"/>
    <w:rsid w:val="531319AD"/>
    <w:rsid w:val="5BD74B00"/>
    <w:rsid w:val="694A61EF"/>
    <w:rsid w:val="762F5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99" w:line="278" w:lineRule="auto"/>
    </w:pPr>
    <w:rPr>
      <w:rFonts w:asciiTheme="minorHAnsi" w:hAnsiTheme="minorHAnsi" w:eastAsiaTheme="minorEastAsia" w:cstheme="minorBidi"/>
      <w:kern w:val="2"/>
      <w:sz w:val="22"/>
      <w:szCs w:val="22"/>
      <w:lang w:val="en-US" w:eastAsia="zh-CN" w:bidi="ar-SA"/>
      <w14:ligatures w14:val="standardContextual"/>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toc 1"/>
    <w:basedOn w:val="1"/>
    <w:next w:val="1"/>
    <w:autoRedefine/>
    <w:unhideWhenUsed/>
    <w:qFormat/>
    <w:uiPriority w:val="39"/>
  </w:style>
  <w:style w:type="paragraph" w:styleId="12">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oc 2"/>
    <w:basedOn w:val="1"/>
    <w:next w:val="1"/>
    <w:autoRedefine/>
    <w:unhideWhenUsed/>
    <w:qFormat/>
    <w:uiPriority w:val="39"/>
    <w:pPr>
      <w:ind w:left="420" w:leftChars="200"/>
    </w:pPr>
  </w:style>
  <w:style w:type="paragraph" w:styleId="14">
    <w:name w:val="Title"/>
    <w:basedOn w:val="1"/>
    <w:next w:val="1"/>
    <w:link w:val="29"/>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Hyperlink"/>
    <w:basedOn w:val="16"/>
    <w:unhideWhenUsed/>
    <w:qFormat/>
    <w:uiPriority w:val="99"/>
    <w:rPr>
      <w:color w:val="467886" w:themeColor="hyperlink"/>
      <w:u w:val="single"/>
      <w14:textFill>
        <w14:solidFill>
          <w14:schemeClr w14:val="hlink"/>
        </w14:solidFill>
      </w14:textFill>
    </w:rPr>
  </w:style>
  <w:style w:type="paragraph" w:customStyle="1" w:styleId="18">
    <w:name w:val="我的正文"/>
    <w:basedOn w:val="1"/>
    <w:qFormat/>
    <w:uiPriority w:val="0"/>
    <w:pPr>
      <w:numPr>
        <w:ilvl w:val="0"/>
        <w:numId w:val="1"/>
      </w:numPr>
      <w:spacing w:before="100" w:beforeAutospacing="1" w:after="100" w:afterAutospacing="1" w:line="360" w:lineRule="auto"/>
      <w:contextualSpacing/>
    </w:pPr>
    <w:rPr>
      <w:rFonts w:eastAsia="仿宋"/>
      <w:sz w:val="24"/>
    </w:rPr>
  </w:style>
  <w:style w:type="paragraph" w:customStyle="1" w:styleId="19">
    <w:name w:val="样式2"/>
    <w:basedOn w:val="1"/>
    <w:qFormat/>
    <w:uiPriority w:val="0"/>
    <w:rPr>
      <w:rFonts w:eastAsia="仿宋"/>
    </w:rPr>
  </w:style>
  <w:style w:type="character" w:customStyle="1" w:styleId="20">
    <w:name w:val="标题 1 字符"/>
    <w:basedOn w:val="16"/>
    <w:link w:val="2"/>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6"/>
    <w:link w:val="3"/>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6"/>
    <w:link w:val="5"/>
    <w:semiHidden/>
    <w:uiPriority w:val="9"/>
    <w:rPr>
      <w:rFonts w:cstheme="majorBidi"/>
      <w:color w:val="104862" w:themeColor="accent1" w:themeShade="BF"/>
      <w:sz w:val="28"/>
      <w:szCs w:val="28"/>
    </w:rPr>
  </w:style>
  <w:style w:type="character" w:customStyle="1" w:styleId="24">
    <w:name w:val="标题 5 字符"/>
    <w:basedOn w:val="16"/>
    <w:link w:val="6"/>
    <w:semiHidden/>
    <w:uiPriority w:val="9"/>
    <w:rPr>
      <w:rFonts w:cstheme="majorBidi"/>
      <w:color w:val="104862" w:themeColor="accent1" w:themeShade="BF"/>
      <w:sz w:val="24"/>
      <w:szCs w:val="24"/>
    </w:rPr>
  </w:style>
  <w:style w:type="character" w:customStyle="1" w:styleId="25">
    <w:name w:val="标题 6 字符"/>
    <w:basedOn w:val="16"/>
    <w:link w:val="7"/>
    <w:semiHidden/>
    <w:uiPriority w:val="9"/>
    <w:rPr>
      <w:rFonts w:cstheme="majorBidi"/>
      <w:b/>
      <w:bCs/>
      <w:color w:val="104862" w:themeColor="accent1" w:themeShade="BF"/>
    </w:rPr>
  </w:style>
  <w:style w:type="character" w:customStyle="1" w:styleId="26">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30">
    <w:name w:val="副标题 字符"/>
    <w:basedOn w:val="16"/>
    <w:link w:val="12"/>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6"/>
    <w:link w:val="31"/>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6"/>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6"/>
    <w:link w:val="35"/>
    <w:uiPriority w:val="30"/>
    <w:rPr>
      <w:i/>
      <w:iCs/>
      <w:color w:val="104862" w:themeColor="accent1" w:themeShade="BF"/>
    </w:rPr>
  </w:style>
  <w:style w:type="character" w:customStyle="1" w:styleId="37">
    <w:name w:val="Intense Reference"/>
    <w:basedOn w:val="16"/>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BB865-C9A2-4436-87A3-EF1D2072E80F}">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2363</Words>
  <Characters>2753</Characters>
  <Lines>28</Lines>
  <Paragraphs>7</Paragraphs>
  <TotalTime>27</TotalTime>
  <ScaleCrop>false</ScaleCrop>
  <LinksUpToDate>false</LinksUpToDate>
  <CharactersWithSpaces>2810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2026-03-27T05:19:00Z</dcterms:created>
  <dc:creator>t89908</dc:creator>
  <cp:lastModifiedBy>Mr 孙</cp:lastModifiedBy>
  <dcterms:modified xsi:type="dcterms:W3CDTF">2026-03-27T05:52:22Z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eyJoZGlkIjoiYzk2MzUyZWRmOWJhMGUwYTZmZDAzYjZlNDQ1ZjY4YTciLCJ1c2VySWQiOiI5NDM4NzczODUifQ==</vt:lpwstr>
  </property>
  <property fmtid="{D5CDD505-2E9C-101B-9397-08002B2CF9AE}" pid="3" name="KSOProductBuildVer">
    <vt:lpwstr>2052-12.1.0.25225</vt:lpwstr>
  </property>
  <property fmtid="{D5CDD505-2E9C-101B-9397-08002B2CF9AE}" pid="4" name="ICV">
    <vt:lpwstr>E72A098D49974CD09FD096DA1AC57A7B_12</vt:lpwstr>
  </property>
</Properties>
</file>